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План</w:t>
      </w:r>
    </w:p>
    <w:p>
      <w:pPr>
        <w:pStyle w:val="Normal"/>
        <w:spacing w:lineRule="auto" w:line="24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основных мероприятий Управления по охране, контролю и регулированию использования объектов животного мира и среды их обитания Тюменской области</w:t>
      </w:r>
    </w:p>
    <w:p>
      <w:pPr>
        <w:pStyle w:val="Normal"/>
        <w:spacing w:lineRule="auto" w:line="240"/>
        <w:jc w:val="center"/>
        <w:rPr/>
      </w:pPr>
      <w:r>
        <w:rPr>
          <w:rFonts w:cs="Arial" w:ascii="Arial" w:hAnsi="Arial"/>
          <w:sz w:val="24"/>
          <w:szCs w:val="24"/>
        </w:rPr>
        <w:t>на  январь  2019г.</w:t>
      </w:r>
    </w:p>
    <w:tbl>
      <w:tblPr>
        <w:tblStyle w:val="a3"/>
        <w:tblW w:w="14910" w:type="dxa"/>
        <w:jc w:val="left"/>
        <w:tblInd w:w="-166" w:type="dxa"/>
        <w:tblCellMar>
          <w:top w:w="0" w:type="dxa"/>
          <w:left w:w="7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43"/>
        <w:gridCol w:w="2116"/>
        <w:gridCol w:w="7935"/>
        <w:gridCol w:w="3615"/>
      </w:tblGrid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Web"/>
              <w:spacing w:before="0"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 xml:space="preserve">№ </w:t>
            </w: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п/п</w:t>
            </w:r>
          </w:p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Дата</w:t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Мероприятие</w:t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Ответственный исполнитель</w:t>
            </w:r>
          </w:p>
        </w:tc>
      </w:tr>
      <w:tr>
        <w:trPr/>
        <w:tc>
          <w:tcPr>
            <w:tcW w:w="14909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Вопросы для рассмотрения у заместителя Губернатора области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4909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Организационные мероприятия, проводимые  Управлением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 w:ascii="Arial" w:hAnsi="Arial"/>
                <w:sz w:val="24"/>
                <w:szCs w:val="24"/>
              </w:rPr>
              <w:t>1.</w:t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В течение месяца</w:t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 w:ascii="Arial" w:hAnsi="Arial"/>
                <w:sz w:val="24"/>
                <w:szCs w:val="24"/>
              </w:rPr>
              <w:t>Проведение плановых (рейдовых) осмотрнов, обследований территорий охотничьих угодий Тюменской области с целью выявления, предупреждения и пресечения нарушений требований законодательства в области охоты и сохранения охотничьих ресурсов</w:t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надзора, контроля и правовой работы, районные отделы</w:t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2. </w:t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с 9 по 31  января</w:t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Прием заявлений на получение охотничьих билетов и выдача охотничьих билетов.</w:t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0" w:name="__DdeLink__165_3226760080"/>
            <w:bookmarkEnd w:id="0"/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3.</w:t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с 9 по 31  января</w:t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Сбор и размещение информации в «Информационном ресурсе ИОГВ ТО» с целью проведения оценки качества предоставляемых государственных услуг, ведения учета количества оказанных государственных услуг</w:t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1" w:name="__DdeLink__856_3813748021"/>
            <w:bookmarkEnd w:id="1"/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4.</w:t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с 9 по 31  января</w:t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 w:ascii="Arial" w:hAnsi="Arial"/>
                <w:sz w:val="24"/>
                <w:szCs w:val="24"/>
              </w:rPr>
              <w:t>Распределение и выдача разрешений на добычу охотничьих ресурсов</w:t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5.</w:t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15, 17 января</w:t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 w:ascii="Arial" w:hAnsi="Arial"/>
                <w:sz w:val="24"/>
                <w:szCs w:val="24"/>
              </w:rPr>
              <w:t>Аукционы на право заключения охотхозяйственного соглашения.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6.</w:t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" w:name="__DdeLink__166_2102471346"/>
            <w:bookmarkEnd w:id="2"/>
            <w:r>
              <w:rPr>
                <w:rFonts w:cs="Arial" w:ascii="Arial" w:hAnsi="Arial"/>
                <w:sz w:val="24"/>
                <w:szCs w:val="24"/>
              </w:rPr>
              <w:t>с 1 по 31  января</w:t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</w:rPr>
              <w:t>Проведение зимнего маршрутного учета охотничьих животных</w:t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Начальники районных отделов</w:t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7.</w:t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с 9 по 31  января</w:t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Ведение бюджетного учета и составление отчетности Управления</w:t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Отдел бухгалтерского учета и экономики</w:t>
            </w:r>
          </w:p>
        </w:tc>
      </w:tr>
      <w:tr>
        <w:trPr/>
        <w:tc>
          <w:tcPr>
            <w:tcW w:w="1243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Arial" w:hAnsi="Arial"/>
                <w:sz w:val="24"/>
                <w:szCs w:val="24"/>
              </w:rPr>
              <w:t>8.</w:t>
            </w:r>
          </w:p>
        </w:tc>
        <w:tc>
          <w:tcPr>
            <w:tcW w:w="211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3" w:name="__DdeLink__99521_3161598918311"/>
            <w:bookmarkStart w:id="4" w:name="__DdeLink__319_2091861808311"/>
            <w:r>
              <w:rPr>
                <w:rFonts w:cs="Arial" w:ascii="Arial" w:hAnsi="Arial"/>
                <w:sz w:val="24"/>
                <w:szCs w:val="24"/>
              </w:rPr>
              <w:t xml:space="preserve">с 9 по </w:t>
            </w:r>
            <w:bookmarkStart w:id="5" w:name="__DdeLink__50345_1975018894311"/>
            <w:r>
              <w:rPr>
                <w:rFonts w:cs="Arial" w:ascii="Arial" w:hAnsi="Arial"/>
                <w:sz w:val="24"/>
                <w:szCs w:val="24"/>
              </w:rPr>
              <w:t xml:space="preserve">31  </w:t>
            </w:r>
            <w:bookmarkEnd w:id="3"/>
            <w:bookmarkEnd w:id="4"/>
            <w:bookmarkEnd w:id="5"/>
            <w:r>
              <w:rPr>
                <w:rFonts w:cs="Arial" w:ascii="Arial" w:hAnsi="Arial"/>
                <w:sz w:val="24"/>
                <w:szCs w:val="24"/>
              </w:rPr>
              <w:t>января</w:t>
            </w:r>
          </w:p>
        </w:tc>
        <w:tc>
          <w:tcPr>
            <w:tcW w:w="7935" w:type="dxa"/>
            <w:tcBorders>
              <w:top w:val="nil"/>
            </w:tcBorders>
            <w:shd w:fill="auto" w:val="clear"/>
          </w:tcPr>
          <w:p>
            <w:pPr>
              <w:pStyle w:val="Style15"/>
              <w:spacing w:lineRule="auto" w:line="240" w:before="0" w:after="0"/>
              <w:ind w:hanging="0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Осуществление государственных закупок товаров, работ, услуг. Материально-техническое обеспечение деятельности Управления</w:t>
            </w:r>
          </w:p>
        </w:tc>
        <w:tc>
          <w:tcPr>
            <w:tcW w:w="361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Arial" w:hAnsi="Arial"/>
                <w:sz w:val="24"/>
                <w:szCs w:val="24"/>
              </w:rPr>
              <w:t>Служба хозяйственного обеспечения</w:t>
            </w:r>
          </w:p>
        </w:tc>
      </w:tr>
      <w:tr>
        <w:trPr/>
        <w:tc>
          <w:tcPr>
            <w:tcW w:w="1243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9.</w:t>
            </w:r>
          </w:p>
        </w:tc>
        <w:tc>
          <w:tcPr>
            <w:tcW w:w="2116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В течение месяца</w:t>
            </w:r>
          </w:p>
        </w:tc>
        <w:tc>
          <w:tcPr>
            <w:tcW w:w="7935" w:type="dxa"/>
            <w:tcBorders>
              <w:top w:val="nil"/>
            </w:tcBorders>
            <w:shd w:fill="auto" w:val="clear"/>
          </w:tcPr>
          <w:p>
            <w:pPr>
              <w:pStyle w:val="Style19"/>
              <w:spacing w:lineRule="auto" w:line="240" w:before="0" w:after="0"/>
              <w:rPr/>
            </w:pPr>
            <w:r>
              <w:rPr>
                <w:rFonts w:ascii="Arial" w:hAnsi="Arial"/>
                <w:sz w:val="24"/>
                <w:szCs w:val="24"/>
              </w:rPr>
              <w:t>Разработка проектов нормативных-правовых актов в соответствии с отдельными поручениями начальника Управления (лица его замещающего)</w:t>
            </w:r>
          </w:p>
        </w:tc>
        <w:tc>
          <w:tcPr>
            <w:tcW w:w="3615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ascii="Arial" w:hAnsi="Arial"/>
                <w:sz w:val="24"/>
                <w:szCs w:val="24"/>
              </w:rPr>
              <w:t>Отдел государственного надзора, контроля и правовой работы</w:t>
            </w:r>
          </w:p>
        </w:tc>
      </w:tr>
      <w:tr>
        <w:trPr/>
        <w:tc>
          <w:tcPr>
            <w:tcW w:w="1243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10.</w:t>
            </w:r>
          </w:p>
        </w:tc>
        <w:tc>
          <w:tcPr>
            <w:tcW w:w="2116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В течение месяца</w:t>
            </w:r>
          </w:p>
        </w:tc>
        <w:tc>
          <w:tcPr>
            <w:tcW w:w="7935" w:type="dxa"/>
            <w:tcBorders>
              <w:top w:val="nil"/>
            </w:tcBorders>
            <w:shd w:fill="auto" w:val="clear"/>
          </w:tcPr>
          <w:p>
            <w:pPr>
              <w:pStyle w:val="Style19"/>
              <w:spacing w:lineRule="auto" w:line="240" w:before="0" w:after="0"/>
              <w:rPr/>
            </w:pPr>
            <w:r>
              <w:rPr>
                <w:rFonts w:ascii="Arial" w:hAnsi="Arial"/>
                <w:sz w:val="24"/>
                <w:szCs w:val="24"/>
              </w:rPr>
              <w:t>Профилактика коррупционных и иных правонарушений в Управлении в соответствии с Указом Президента Российской Федерации от 15.07.2015 № 364 «О мерах по совершенствованию организации деятельности в области противодействия коррупции»</w:t>
            </w:r>
          </w:p>
        </w:tc>
        <w:tc>
          <w:tcPr>
            <w:tcW w:w="3615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ascii="Arial" w:hAnsi="Arial"/>
                <w:sz w:val="24"/>
                <w:szCs w:val="24"/>
              </w:rPr>
              <w:t>Отдел государственного надзора, контроля и правовой работы</w:t>
            </w:r>
          </w:p>
        </w:tc>
      </w:tr>
      <w:tr>
        <w:trPr/>
        <w:tc>
          <w:tcPr>
            <w:tcW w:w="1243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11.</w:t>
            </w:r>
          </w:p>
        </w:tc>
        <w:tc>
          <w:tcPr>
            <w:tcW w:w="2116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В течение месяца</w:t>
            </w:r>
          </w:p>
        </w:tc>
        <w:tc>
          <w:tcPr>
            <w:tcW w:w="7935" w:type="dxa"/>
            <w:tcBorders>
              <w:top w:val="nil"/>
            </w:tcBorders>
            <w:shd w:fill="auto" w:val="clear"/>
          </w:tcPr>
          <w:p>
            <w:pPr>
              <w:pStyle w:val="Style19"/>
              <w:spacing w:lineRule="auto" w:line="240" w:before="0" w:after="0"/>
              <w:rPr/>
            </w:pPr>
            <w:r>
              <w:rPr>
                <w:rFonts w:ascii="Arial" w:hAnsi="Arial"/>
                <w:sz w:val="24"/>
                <w:szCs w:val="24"/>
              </w:rPr>
              <w:t>Организационное и документационное обеспечение деятельности Управления</w:t>
            </w:r>
          </w:p>
        </w:tc>
        <w:tc>
          <w:tcPr>
            <w:tcW w:w="3615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ascii="Arial" w:hAnsi="Arial"/>
                <w:sz w:val="24"/>
                <w:szCs w:val="24"/>
              </w:rPr>
              <w:t>Отдел государственного надзора, контроля и правовой работы</w:t>
            </w:r>
          </w:p>
        </w:tc>
      </w:tr>
      <w:tr>
        <w:trPr/>
        <w:tc>
          <w:tcPr>
            <w:tcW w:w="1243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12.</w:t>
            </w:r>
          </w:p>
        </w:tc>
        <w:tc>
          <w:tcPr>
            <w:tcW w:w="2116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В течение месяца</w:t>
            </w:r>
          </w:p>
        </w:tc>
        <w:tc>
          <w:tcPr>
            <w:tcW w:w="7935" w:type="dxa"/>
            <w:tcBorders>
              <w:top w:val="nil"/>
            </w:tcBorders>
            <w:shd w:fill="auto" w:val="clear"/>
          </w:tcPr>
          <w:p>
            <w:pPr>
              <w:pStyle w:val="Style19"/>
              <w:spacing w:lineRule="auto" w:line="240" w:before="0" w:after="0"/>
              <w:rPr/>
            </w:pPr>
            <w:r>
              <w:rPr>
                <w:rFonts w:ascii="Arial" w:hAnsi="Arial"/>
                <w:sz w:val="24"/>
                <w:szCs w:val="24"/>
              </w:rPr>
              <w:t>Рассмотрение деловой корреспонденции, поступающей в Управление</w:t>
            </w:r>
          </w:p>
        </w:tc>
        <w:tc>
          <w:tcPr>
            <w:tcW w:w="3615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ascii="Arial" w:hAnsi="Arial"/>
                <w:sz w:val="24"/>
                <w:szCs w:val="24"/>
              </w:rPr>
              <w:t>Отдел государственного надзора, контроля и правовой работы</w:t>
            </w:r>
          </w:p>
        </w:tc>
      </w:tr>
      <w:tr>
        <w:trPr/>
        <w:tc>
          <w:tcPr>
            <w:tcW w:w="1243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 xml:space="preserve">13. </w:t>
            </w:r>
          </w:p>
        </w:tc>
        <w:tc>
          <w:tcPr>
            <w:tcW w:w="2116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В течение месяца</w:t>
            </w:r>
          </w:p>
        </w:tc>
        <w:tc>
          <w:tcPr>
            <w:tcW w:w="7935" w:type="dxa"/>
            <w:tcBorders>
              <w:top w:val="nil"/>
            </w:tcBorders>
            <w:shd w:fill="auto" w:val="clear"/>
          </w:tcPr>
          <w:p>
            <w:pPr>
              <w:pStyle w:val="Style19"/>
              <w:bidi w:val="0"/>
              <w:spacing w:lineRule="auto" w:line="240" w:before="0" w:after="0"/>
              <w:jc w:val="left"/>
              <w:rPr/>
            </w:pPr>
            <w:r>
              <w:rPr>
                <w:rFonts w:ascii="Arial" w:hAnsi="Arial"/>
                <w:sz w:val="26"/>
                <w:szCs w:val="26"/>
              </w:rPr>
              <w:t>Рассмотрение обращений граждан, поступающих в  Управление</w:t>
            </w:r>
          </w:p>
        </w:tc>
        <w:tc>
          <w:tcPr>
            <w:tcW w:w="3615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ascii="Arial" w:hAnsi="Arial"/>
                <w:sz w:val="24"/>
                <w:szCs w:val="24"/>
              </w:rPr>
              <w:t>Структурные подразделения Управления в рамках компетенции</w:t>
            </w:r>
          </w:p>
        </w:tc>
      </w:tr>
      <w:tr>
        <w:trPr/>
        <w:tc>
          <w:tcPr>
            <w:tcW w:w="1243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Arial" w:hAnsi="Arial"/>
                <w:sz w:val="24"/>
                <w:szCs w:val="24"/>
              </w:rPr>
              <w:t xml:space="preserve">14. </w:t>
            </w:r>
          </w:p>
        </w:tc>
        <w:tc>
          <w:tcPr>
            <w:tcW w:w="2116" w:type="dxa"/>
            <w:tcBorders>
              <w:top w:val="nil"/>
            </w:tcBorders>
            <w:shd w:fill="auto" w:val="clear"/>
          </w:tcPr>
          <w:p>
            <w:pPr>
              <w:pStyle w:val="Style19"/>
              <w:spacing w:lineRule="auto" w:line="240" w:before="0" w:after="0"/>
              <w:rPr/>
            </w:pPr>
            <w:r>
              <w:rPr>
                <w:rFonts w:ascii="Arial" w:hAnsi="Arial"/>
                <w:sz w:val="24"/>
                <w:szCs w:val="24"/>
              </w:rPr>
              <w:t>В течение месяца (по графику)</w:t>
            </w:r>
          </w:p>
        </w:tc>
        <w:tc>
          <w:tcPr>
            <w:tcW w:w="7935" w:type="dxa"/>
            <w:tcBorders>
              <w:top w:val="nil"/>
            </w:tcBorders>
            <w:shd w:fill="auto" w:val="clear"/>
          </w:tcPr>
          <w:p>
            <w:pPr>
              <w:pStyle w:val="Style19"/>
              <w:bidi w:val="0"/>
              <w:spacing w:lineRule="auto" w:line="240" w:before="0" w:after="0"/>
              <w:jc w:val="left"/>
              <w:rPr/>
            </w:pPr>
            <w:r>
              <w:rPr>
                <w:rFonts w:ascii="Arial" w:hAnsi="Arial"/>
                <w:sz w:val="26"/>
                <w:szCs w:val="26"/>
              </w:rPr>
              <w:t>Личный прием граждан начальником Управления (лицом его замещающим)</w:t>
            </w:r>
          </w:p>
        </w:tc>
        <w:tc>
          <w:tcPr>
            <w:tcW w:w="3615" w:type="dxa"/>
            <w:tcBorders>
              <w:top w:val="nil"/>
            </w:tcBorders>
            <w:shd w:fill="auto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ascii="Arial" w:hAnsi="Arial"/>
                <w:sz w:val="24"/>
                <w:szCs w:val="24"/>
              </w:rPr>
              <w:t>Структурные подразделения Управления, в рамках компетенции</w:t>
            </w:r>
          </w:p>
        </w:tc>
      </w:tr>
      <w:tr>
        <w:trPr>
          <w:trHeight w:val="420" w:hRule="atLeast"/>
        </w:trPr>
        <w:tc>
          <w:tcPr>
            <w:tcW w:w="14909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Организационные мероприятия, проводимые с участием представителей Управления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  <w:bookmarkStart w:id="6" w:name="_GoBack"/>
            <w:bookmarkStart w:id="7" w:name="_GoBack"/>
            <w:bookmarkEnd w:id="7"/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</w:tr>
      <w:tr>
        <w:trPr/>
        <w:tc>
          <w:tcPr>
            <w:tcW w:w="14909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Заседания коллегиальных органов, комиссий, советов при Управлении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24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1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79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1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40" w:before="0" w:after="200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rong">
    <w:name w:val="Strong"/>
    <w:basedOn w:val="DefaultParagraphFont"/>
    <w:uiPriority w:val="22"/>
    <w:qFormat/>
    <w:rsid w:val="00493113"/>
    <w:rPr>
      <w:b/>
      <w:bCs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493113"/>
    <w:pPr>
      <w:spacing w:lineRule="auto" w:line="240" w:before="0" w:after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">
    <w:name w:val="Содержимое таблицы"/>
    <w:basedOn w:val="Normal"/>
    <w:qFormat/>
    <w:pPr/>
    <w:rPr/>
  </w:style>
  <w:style w:type="paragraph" w:styleId="Style20">
    <w:name w:val="Заголовок таблицы"/>
    <w:basedOn w:val="Style19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1379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D058-7A85-4FDF-952E-31D87D20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Application>LibreOffice/6.0.3.2$Windows_X86_64 LibreOffice_project/8f48d515416608e3a835360314dac7e47fd0b821</Application>
  <Pages>3</Pages>
  <Words>383</Words>
  <Characters>2754</Characters>
  <CharactersWithSpaces>3087</CharactersWithSpaces>
  <Paragraphs>67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2015-05-28T08:01:00Z</dcterms:created>
  <dc:creator>Петровичева Светлана Владимировна</dc:creator>
  <dc:description/>
  <dc:language>ru-RU</dc:language>
  <cp:lastModifiedBy/>
  <dcterms:modified xsi:type="dcterms:W3CDTF">2018-12-07T11:58:17Z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